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1477F4" w14:textId="77777777" w:rsidR="00E61B91" w:rsidRDefault="00E61B9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Тезисы к докладу : « Гистоморфологическая характеристика рубцов гортани у детей. Возможности рецидивов. Взгляд хирурга-ларинголога».</w:t>
      </w:r>
    </w:p>
    <w:p w14:paraId="6E591ECE" w14:textId="77777777" w:rsidR="00E61B91" w:rsidRDefault="00E61B91">
      <w:pPr>
        <w:rPr>
          <w:rFonts w:ascii="Times New Roman" w:hAnsi="Times New Roman" w:cs="Times New Roman"/>
          <w:sz w:val="28"/>
          <w:szCs w:val="28"/>
        </w:rPr>
      </w:pPr>
    </w:p>
    <w:p w14:paraId="69DFA68C" w14:textId="77777777" w:rsidR="00E61B91" w:rsidRDefault="00E61B9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Данная работа выполнена в рамках Проекта РНФ № 24-19-00623 «Спектрометрический комплекс высокого разрешения для метаболического анализа патологий в органах систем жизнеобеспечения человеческого организма».</w:t>
      </w:r>
    </w:p>
    <w:p w14:paraId="29CA5A5B" w14:textId="61DE7844" w:rsidR="00E61B91" w:rsidRDefault="00E61B9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Рубцовый стеноз гортани и трахеи у детей является актуальной проблемой, особенно после перенесенной </w:t>
      </w:r>
      <w:r w:rsidR="006D0DE7">
        <w:rPr>
          <w:rFonts w:ascii="Times New Roman" w:hAnsi="Times New Roman" w:cs="Times New Roman"/>
          <w:sz w:val="28"/>
          <w:szCs w:val="28"/>
        </w:rPr>
        <w:t xml:space="preserve">пандемии </w:t>
      </w:r>
      <w:r w:rsidR="006D0DE7">
        <w:rPr>
          <w:rFonts w:ascii="Times New Roman" w:hAnsi="Times New Roman" w:cs="Times New Roman"/>
          <w:sz w:val="28"/>
          <w:szCs w:val="28"/>
          <w:lang w:val="en-GB"/>
        </w:rPr>
        <w:t>COVID</w:t>
      </w:r>
      <w:r w:rsidR="006D0DE7" w:rsidRPr="006D0DE7">
        <w:rPr>
          <w:rFonts w:ascii="Times New Roman" w:hAnsi="Times New Roman" w:cs="Times New Roman"/>
          <w:sz w:val="28"/>
          <w:szCs w:val="28"/>
        </w:rPr>
        <w:t xml:space="preserve">-19 </w:t>
      </w:r>
      <w:r w:rsidR="006D0DE7">
        <w:rPr>
          <w:rFonts w:ascii="Times New Roman" w:hAnsi="Times New Roman" w:cs="Times New Roman"/>
          <w:sz w:val="28"/>
          <w:szCs w:val="28"/>
          <w:lang w:val="en-GB"/>
        </w:rPr>
        <w:t>SARS</w:t>
      </w:r>
      <w:r w:rsidR="006D0DE7" w:rsidRPr="006D0DE7">
        <w:rPr>
          <w:rFonts w:ascii="Times New Roman" w:hAnsi="Times New Roman" w:cs="Times New Roman"/>
          <w:sz w:val="28"/>
          <w:szCs w:val="28"/>
        </w:rPr>
        <w:t xml:space="preserve">- </w:t>
      </w:r>
      <w:r w:rsidR="006D0DE7">
        <w:rPr>
          <w:rFonts w:ascii="Times New Roman" w:hAnsi="Times New Roman" w:cs="Times New Roman"/>
          <w:sz w:val="28"/>
          <w:szCs w:val="28"/>
          <w:lang w:val="en-GB"/>
        </w:rPr>
        <w:t>CoV</w:t>
      </w:r>
      <w:r w:rsidR="006D0DE7" w:rsidRPr="006D0DE7">
        <w:rPr>
          <w:rFonts w:ascii="Times New Roman" w:hAnsi="Times New Roman" w:cs="Times New Roman"/>
          <w:sz w:val="28"/>
          <w:szCs w:val="28"/>
        </w:rPr>
        <w:t>-2</w:t>
      </w:r>
      <w:r w:rsidR="006D0DE7">
        <w:rPr>
          <w:rFonts w:ascii="Times New Roman" w:hAnsi="Times New Roman" w:cs="Times New Roman"/>
          <w:sz w:val="28"/>
          <w:szCs w:val="28"/>
        </w:rPr>
        <w:t xml:space="preserve">. В результате пандемии число детей  с врожденной патологией гортани и ВДП увеличилось в 4 раза, из них врожденные аномалии </w:t>
      </w:r>
      <w:r w:rsidR="006D2C95">
        <w:rPr>
          <w:rFonts w:ascii="Times New Roman" w:hAnsi="Times New Roman" w:cs="Times New Roman"/>
          <w:sz w:val="28"/>
          <w:szCs w:val="28"/>
        </w:rPr>
        <w:t xml:space="preserve">развития гортани и трахеи </w:t>
      </w:r>
      <w:r w:rsidR="00B967F1">
        <w:rPr>
          <w:rFonts w:ascii="Times New Roman" w:hAnsi="Times New Roman" w:cs="Times New Roman"/>
          <w:sz w:val="28"/>
          <w:szCs w:val="28"/>
        </w:rPr>
        <w:t>увеличилось почти на 16</w:t>
      </w:r>
      <w:r w:rsidR="006D2C95">
        <w:rPr>
          <w:rFonts w:ascii="Times New Roman" w:hAnsi="Times New Roman" w:cs="Times New Roman"/>
          <w:sz w:val="28"/>
          <w:szCs w:val="28"/>
        </w:rPr>
        <w:t>% ( Косолапова Ю.А., 2023г.,</w:t>
      </w:r>
      <w:r w:rsidR="00B967F1">
        <w:rPr>
          <w:rFonts w:ascii="Times New Roman" w:hAnsi="Times New Roman" w:cs="Times New Roman"/>
          <w:sz w:val="28"/>
          <w:szCs w:val="28"/>
        </w:rPr>
        <w:t xml:space="preserve"> </w:t>
      </w:r>
      <w:r w:rsidR="00B967F1">
        <w:rPr>
          <w:rFonts w:ascii="Times New Roman" w:hAnsi="Times New Roman" w:cs="Times New Roman"/>
          <w:sz w:val="28"/>
          <w:szCs w:val="28"/>
          <w:lang w:val="en-GB"/>
        </w:rPr>
        <w:t>Journal</w:t>
      </w:r>
      <w:r w:rsidR="00B967F1" w:rsidRPr="00B967F1">
        <w:rPr>
          <w:rFonts w:ascii="Times New Roman" w:hAnsi="Times New Roman" w:cs="Times New Roman"/>
          <w:sz w:val="28"/>
          <w:szCs w:val="28"/>
        </w:rPr>
        <w:t xml:space="preserve"> </w:t>
      </w:r>
      <w:r w:rsidR="00B967F1">
        <w:rPr>
          <w:rFonts w:ascii="Times New Roman" w:hAnsi="Times New Roman" w:cs="Times New Roman"/>
          <w:sz w:val="28"/>
          <w:szCs w:val="28"/>
          <w:lang w:val="en-GB"/>
        </w:rPr>
        <w:t>Citation</w:t>
      </w:r>
      <w:r w:rsidR="00B967F1" w:rsidRPr="00B967F1">
        <w:rPr>
          <w:rFonts w:ascii="Times New Roman" w:hAnsi="Times New Roman" w:cs="Times New Roman"/>
          <w:sz w:val="28"/>
          <w:szCs w:val="28"/>
        </w:rPr>
        <w:t xml:space="preserve"> </w:t>
      </w:r>
      <w:r w:rsidR="00B967F1">
        <w:rPr>
          <w:rFonts w:ascii="Times New Roman" w:hAnsi="Times New Roman" w:cs="Times New Roman"/>
          <w:sz w:val="28"/>
          <w:szCs w:val="28"/>
          <w:lang w:val="en-GB"/>
        </w:rPr>
        <w:t>Reports</w:t>
      </w:r>
      <w:r w:rsidR="00B967F1" w:rsidRPr="00B967F1">
        <w:rPr>
          <w:rFonts w:ascii="Times New Roman" w:hAnsi="Times New Roman" w:cs="Times New Roman"/>
          <w:sz w:val="28"/>
          <w:szCs w:val="28"/>
        </w:rPr>
        <w:t xml:space="preserve"> (3), 2024</w:t>
      </w:r>
      <w:r w:rsidR="00B967F1">
        <w:rPr>
          <w:rFonts w:ascii="Times New Roman" w:hAnsi="Times New Roman" w:cs="Times New Roman"/>
          <w:sz w:val="28"/>
          <w:szCs w:val="28"/>
        </w:rPr>
        <w:t xml:space="preserve">г.). </w:t>
      </w:r>
    </w:p>
    <w:p w14:paraId="3BD8EA51" w14:textId="77777777" w:rsidR="00466B2D" w:rsidRDefault="00B967F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Согласно общепринятым классификациям</w:t>
      </w:r>
      <w:r w:rsidR="00267CCC">
        <w:rPr>
          <w:rFonts w:ascii="Times New Roman" w:hAnsi="Times New Roman" w:cs="Times New Roman"/>
          <w:sz w:val="28"/>
          <w:szCs w:val="28"/>
        </w:rPr>
        <w:t xml:space="preserve">, рабочей </w:t>
      </w:r>
      <w:r w:rsidR="00267CCC">
        <w:rPr>
          <w:rFonts w:ascii="Times New Roman" w:hAnsi="Times New Roman" w:cs="Times New Roman"/>
          <w:sz w:val="28"/>
          <w:szCs w:val="28"/>
          <w:lang w:val="en-GB"/>
        </w:rPr>
        <w:t>Myer</w:t>
      </w:r>
      <w:r w:rsidR="00267CCC" w:rsidRPr="00267CCC">
        <w:rPr>
          <w:rFonts w:ascii="Times New Roman" w:hAnsi="Times New Roman" w:cs="Times New Roman"/>
          <w:sz w:val="28"/>
          <w:szCs w:val="28"/>
        </w:rPr>
        <w:t>-</w:t>
      </w:r>
      <w:r w:rsidR="00267CCC">
        <w:rPr>
          <w:rFonts w:ascii="Times New Roman" w:hAnsi="Times New Roman" w:cs="Times New Roman"/>
          <w:sz w:val="28"/>
          <w:szCs w:val="28"/>
          <w:lang w:val="en-GB"/>
        </w:rPr>
        <w:t>Cotton</w:t>
      </w:r>
      <w:r w:rsidR="00267CCC">
        <w:rPr>
          <w:rFonts w:ascii="Times New Roman" w:hAnsi="Times New Roman" w:cs="Times New Roman"/>
          <w:sz w:val="28"/>
          <w:szCs w:val="28"/>
        </w:rPr>
        <w:t xml:space="preserve">, с учетом гистоморфологических аспектов </w:t>
      </w:r>
      <w:r w:rsidR="00267CCC">
        <w:rPr>
          <w:rFonts w:ascii="Times New Roman" w:hAnsi="Times New Roman" w:cs="Times New Roman"/>
          <w:sz w:val="28"/>
          <w:szCs w:val="28"/>
          <w:lang w:val="en-GB"/>
        </w:rPr>
        <w:t>Tucker</w:t>
      </w:r>
      <w:r w:rsidR="00267CCC" w:rsidRPr="00267CCC">
        <w:rPr>
          <w:rFonts w:ascii="Times New Roman" w:hAnsi="Times New Roman" w:cs="Times New Roman"/>
          <w:sz w:val="28"/>
          <w:szCs w:val="28"/>
        </w:rPr>
        <w:t xml:space="preserve">, </w:t>
      </w:r>
      <w:r w:rsidR="00267CCC">
        <w:rPr>
          <w:rFonts w:ascii="Times New Roman" w:hAnsi="Times New Roman" w:cs="Times New Roman"/>
          <w:sz w:val="28"/>
          <w:szCs w:val="28"/>
        </w:rPr>
        <w:t>классификации Цветкова Э.А. оцениваются разные аспекты рубцового стеноза, просвет гортани и трахеи, морфология поражения, анатомическая характеристика  аномалии развития. Однако, в анализе литературных данных по исследуемой проблеме мы не обнаружили объективных доказательных результатов</w:t>
      </w:r>
      <w:r w:rsidR="00466B2D">
        <w:rPr>
          <w:rFonts w:ascii="Times New Roman" w:hAnsi="Times New Roman" w:cs="Times New Roman"/>
          <w:sz w:val="28"/>
          <w:szCs w:val="28"/>
        </w:rPr>
        <w:t xml:space="preserve"> в различие хирургических подходов при выявлении совокупности этиологических факторов рубцового стеноза. Изолированный врожденный стеноз или смешанный стеноз после интубации в первые часы жизни ребенка и в дальнейшем, на наш взгляд, именно выяснение гистоморфологической основы стеноза с привлечением методов спектрометрического исследования с формированием представления о метаболического профиля патологии, может дать информацию о правильной тактике хирургической коррекции и ожидания рецидива заболевания по мере роста ребенка.</w:t>
      </w:r>
    </w:p>
    <w:p w14:paraId="0FE901F4" w14:textId="77777777" w:rsidR="009D01EA" w:rsidRDefault="00466B2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Впервые при гистоморфологическом исследовании определялось соотнощение фиброзной и грануляционной ткани</w:t>
      </w:r>
      <w:r w:rsidR="009D01EA">
        <w:rPr>
          <w:rFonts w:ascii="Times New Roman" w:hAnsi="Times New Roman" w:cs="Times New Roman"/>
          <w:sz w:val="28"/>
          <w:szCs w:val="28"/>
        </w:rPr>
        <w:t>, использовалось 800 кратное увеличение, окраска на фиброзную ткань по Ван-Гизону, производилось микрофотографирование полученных срезов и форматирование с использованием оригинальной методики. Получены результаты позволяющие с высокой степенью достоверности выявить соотношение фиброзной и грануляционной ткани, что может являться диагностическим критерием оценки врожденного и приобритенного рубцового стеноза, смешанных форм.</w:t>
      </w:r>
    </w:p>
    <w:p w14:paraId="7CC4BA37" w14:textId="64DB6C5E" w:rsidR="00B967F1" w:rsidRPr="00267CCC" w:rsidRDefault="009D01E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Таким образом, гистоморфологическое исследование по предложенной методике и спектрометрическое исследование рубцовых стенозов гортани у детей может являться одним из диагностических и практических рекомендательных критериев для избрания тактики хирургического лечения патологии и </w:t>
      </w:r>
      <w:r w:rsidR="00B348E3">
        <w:rPr>
          <w:rFonts w:ascii="Times New Roman" w:hAnsi="Times New Roman" w:cs="Times New Roman"/>
          <w:sz w:val="28"/>
          <w:szCs w:val="28"/>
        </w:rPr>
        <w:t>ожидания вероятных рецидивов заболевания по мере роста ребенка.</w:t>
      </w:r>
      <w:r w:rsidR="00466B2D">
        <w:rPr>
          <w:rFonts w:ascii="Times New Roman" w:hAnsi="Times New Roman" w:cs="Times New Roman"/>
          <w:sz w:val="28"/>
          <w:szCs w:val="28"/>
        </w:rPr>
        <w:t xml:space="preserve">  </w:t>
      </w:r>
      <w:r w:rsidR="00267CCC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B967F1" w:rsidRPr="00267C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B91"/>
    <w:rsid w:val="00267CCC"/>
    <w:rsid w:val="00466B2D"/>
    <w:rsid w:val="006D0DE7"/>
    <w:rsid w:val="006D2C95"/>
    <w:rsid w:val="009D01EA"/>
    <w:rsid w:val="00AA1F96"/>
    <w:rsid w:val="00B348E3"/>
    <w:rsid w:val="00B967F1"/>
    <w:rsid w:val="00E61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E9AC5F"/>
  <w15:chartTrackingRefBased/>
  <w15:docId w15:val="{41B4CFF0-E789-48F5-8C37-A01485F5B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61B9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61B9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61B9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61B9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61B9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61B9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61B9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61B9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61B9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61B9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E61B9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E61B9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E61B91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61B91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61B9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E61B9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E61B9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E61B9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E61B9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E61B9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61B9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E61B9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E61B9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E61B91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E61B91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E61B91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E61B9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E61B91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E61B9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375</Words>
  <Characters>2139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Andrey Ayzenshtadt</dc:creator>
  <cp:keywords/>
  <dc:description/>
  <cp:lastModifiedBy>Andrey Ayzenshtadt</cp:lastModifiedBy>
  <cp:revision>1</cp:revision>
  <dcterms:created xsi:type="dcterms:W3CDTF">2025-05-09T15:01:00Z</dcterms:created>
  <dcterms:modified xsi:type="dcterms:W3CDTF">2025-05-09T16:20:00Z</dcterms:modified>
</cp:coreProperties>
</file>